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both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  <w:lang w:val="zh-TW" w:eastAsia="zh-TW"/>
        </w:rPr>
      </w:pPr>
      <w:r>
        <w:rPr>
          <w:rFonts w:ascii="华文中宋" w:hAnsi="华文中宋" w:eastAsia="华文中宋" w:cs="华文中宋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（201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年度）</w:t>
      </w:r>
    </w:p>
    <w:p>
      <w:pPr>
        <w:pStyle w:val="48"/>
        <w:spacing w:line="540" w:lineRule="exact"/>
        <w:rPr>
          <w:rFonts w:eastAsiaTheme="minorEastAsia"/>
          <w:kern w:val="0"/>
          <w:sz w:val="30"/>
          <w:szCs w:val="30"/>
        </w:rPr>
      </w:pPr>
    </w:p>
    <w:p>
      <w:pPr>
        <w:pStyle w:val="48"/>
        <w:spacing w:line="540" w:lineRule="exact"/>
        <w:rPr>
          <w:rFonts w:hint="eastAsia" w:eastAsiaTheme="minorEastAsia"/>
          <w:kern w:val="0"/>
          <w:sz w:val="30"/>
          <w:szCs w:val="30"/>
        </w:rPr>
      </w:pPr>
    </w:p>
    <w:p>
      <w:pPr>
        <w:pStyle w:val="48"/>
        <w:spacing w:line="540" w:lineRule="exact"/>
        <w:rPr>
          <w:kern w:val="0"/>
          <w:sz w:val="30"/>
          <w:szCs w:val="30"/>
        </w:rPr>
      </w:pPr>
    </w:p>
    <w:p>
      <w:pPr>
        <w:pStyle w:val="48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项目名称：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塔什库尔干乡库孜滚村、萨热吉勒尕村、夏拉夫迭村、白尕吾勒村村民服务中心建设项目</w:t>
      </w:r>
    </w:p>
    <w:p>
      <w:pPr>
        <w:pStyle w:val="48"/>
        <w:spacing w:line="700" w:lineRule="exact"/>
        <w:ind w:firstLine="720" w:firstLineChars="200"/>
        <w:jc w:val="left"/>
        <w:rPr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实施单位（公章）：中共塔什库尔干塔吉克自治县委员会组织部</w:t>
      </w:r>
    </w:p>
    <w:p>
      <w:pPr>
        <w:pStyle w:val="48"/>
        <w:spacing w:line="700" w:lineRule="exact"/>
        <w:ind w:firstLine="720" w:firstLineChars="200"/>
        <w:jc w:val="left"/>
        <w:rPr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主管部门（公章）：中共塔什库尔干塔吉克自治县委员会</w:t>
      </w:r>
    </w:p>
    <w:p>
      <w:pPr>
        <w:pStyle w:val="48"/>
        <w:spacing w:line="700" w:lineRule="exact"/>
        <w:ind w:firstLine="720" w:firstLineChars="200"/>
        <w:jc w:val="left"/>
        <w:rPr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项目负责人（签章）：刘鹏</w:t>
      </w:r>
    </w:p>
    <w:p>
      <w:pPr>
        <w:pStyle w:val="48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12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月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31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日</w:t>
      </w:r>
    </w:p>
    <w:p>
      <w:pPr>
        <w:pStyle w:val="48"/>
        <w:spacing w:line="700" w:lineRule="exact"/>
        <w:ind w:firstLine="624" w:firstLineChars="200"/>
        <w:jc w:val="left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pStyle w:val="48"/>
        <w:spacing w:line="700" w:lineRule="exact"/>
        <w:ind w:firstLine="624" w:firstLineChars="200"/>
        <w:jc w:val="lef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540" w:lineRule="exact"/>
        <w:ind w:firstLine="640"/>
        <w:rPr>
          <w:rStyle w:val="18"/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 w:cs="Arial"/>
          <w:sz w:val="32"/>
          <w:szCs w:val="32"/>
        </w:rPr>
        <w:t>我部编制人数26人，其中：行政人员编制9人，参照公务员管理的事业单位人员编制10人，全额拨款事业单位人员编制6人，包括</w:t>
      </w:r>
      <w:r>
        <w:rPr>
          <w:rFonts w:hint="eastAsia" w:ascii="仿宋" w:hAnsi="仿宋" w:eastAsia="仿宋"/>
          <w:sz w:val="32"/>
          <w:szCs w:val="32"/>
        </w:rPr>
        <w:t>办公室、人才援疆办、干部科、基层办、干训科、干监科、组织科等部门。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1、项目预期目标及阶段性目标</w:t>
      </w:r>
    </w:p>
    <w:p>
      <w:pPr>
        <w:spacing w:line="540" w:lineRule="exact"/>
        <w:ind w:firstLine="640"/>
        <w:rPr>
          <w:rFonts w:ascii="仿宋" w:hAnsi="仿宋" w:eastAsia="仿宋" w:cs="Arial"/>
          <w:sz w:val="32"/>
          <w:szCs w:val="32"/>
        </w:rPr>
      </w:pPr>
      <w:bookmarkStart w:id="0" w:name="_Toc405279309"/>
      <w:r>
        <w:rPr>
          <w:rFonts w:hint="eastAsia" w:ascii="仿宋" w:hAnsi="仿宋" w:eastAsia="仿宋" w:cs="Arial"/>
          <w:sz w:val="32"/>
          <w:szCs w:val="32"/>
          <w:lang w:eastAsia="zh-CN"/>
        </w:rPr>
        <w:t>本项目</w:t>
      </w:r>
      <w:r>
        <w:rPr>
          <w:rFonts w:ascii="仿宋" w:hAnsi="仿宋" w:eastAsia="仿宋" w:cs="Arial"/>
          <w:sz w:val="32"/>
          <w:szCs w:val="32"/>
        </w:rPr>
        <w:t>经费主要用于</w:t>
      </w:r>
      <w:r>
        <w:rPr>
          <w:rFonts w:hint="eastAsia" w:ascii="仿宋" w:hAnsi="仿宋" w:eastAsia="仿宋" w:cs="Arial"/>
          <w:sz w:val="32"/>
          <w:szCs w:val="32"/>
        </w:rPr>
        <w:t>塔什库尔干乡库孜滚村、萨热吉勒尕村、夏拉夫迭村、白尕吾勒村村民服务中心的建设，及场地平整、地面硬化、化粪池及室内外配套设施的建设等。项目实施后，可以有效解决深度贫困村活动场所、思想教育场所、文化宣传等问题，同时也解决实现了深度贫困村群众日常集中学习、开展各类活动场地，为群众办实事好事提供了有效的条件。村民服务中心建设项目共</w:t>
      </w:r>
      <w:r>
        <w:rPr>
          <w:rFonts w:ascii="仿宋" w:hAnsi="仿宋" w:eastAsia="仿宋" w:cs="Arial"/>
          <w:sz w:val="32"/>
          <w:szCs w:val="32"/>
        </w:rPr>
        <w:t>266.12万元，所涉及</w:t>
      </w:r>
      <w:r>
        <w:rPr>
          <w:rFonts w:hint="eastAsia" w:ascii="仿宋" w:hAnsi="仿宋" w:eastAsia="仿宋" w:cs="Arial"/>
          <w:sz w:val="32"/>
          <w:szCs w:val="32"/>
        </w:rPr>
        <w:t>4个村。</w:t>
      </w:r>
    </w:p>
    <w:bookmarkEnd w:id="0"/>
    <w:p>
      <w:pPr>
        <w:tabs>
          <w:tab w:val="left" w:pos="6882"/>
        </w:tabs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2、项目基本性质</w:t>
      </w:r>
      <w:r>
        <w:rPr>
          <w:rFonts w:ascii="仿宋" w:hAnsi="仿宋" w:eastAsia="仿宋"/>
          <w:b/>
          <w:bCs/>
          <w:spacing w:val="-4"/>
          <w:sz w:val="32"/>
          <w:szCs w:val="32"/>
        </w:rPr>
        <w:tab/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Arial"/>
          <w:sz w:val="32"/>
          <w:szCs w:val="32"/>
        </w:rPr>
      </w:pPr>
      <w:r>
        <w:rPr>
          <w:rFonts w:hint="eastAsia" w:ascii="仿宋" w:hAnsi="仿宋" w:eastAsia="仿宋" w:cs="Arial"/>
          <w:sz w:val="32"/>
          <w:szCs w:val="32"/>
        </w:rPr>
        <w:t>该项目性质为新增项目。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3、项目用途及范围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Arial"/>
          <w:color w:val="FF0000"/>
          <w:sz w:val="32"/>
          <w:szCs w:val="32"/>
        </w:rPr>
      </w:pPr>
      <w:r>
        <w:rPr>
          <w:rFonts w:hint="eastAsia" w:ascii="仿宋" w:hAnsi="仿宋" w:eastAsia="仿宋" w:cs="Arial"/>
          <w:sz w:val="32"/>
          <w:szCs w:val="32"/>
        </w:rPr>
        <w:t>塔什库尔干乡库孜滚村、萨热吉勒尕村、夏拉夫迭村、白尕吾勒村村民服务中心建设项目共266.12万元，用于塔什库尔干乡库孜滚村、萨热吉勒尕村、夏拉夫迭村、白尕吾勒村村民服务中心的建设，及场地平整、地面硬化、化粪池及室内外配套设施的建设。该项目建成后，有利于拓宽村“两委”、工作队、村第一书记服务领域，使村“两委”、</w:t>
      </w:r>
      <w:bookmarkStart w:id="1" w:name="_GoBack"/>
      <w:bookmarkEnd w:id="1"/>
      <w:r>
        <w:rPr>
          <w:rFonts w:hint="eastAsia" w:ascii="仿宋" w:hAnsi="仿宋" w:eastAsia="仿宋" w:cs="Arial"/>
          <w:sz w:val="32"/>
          <w:szCs w:val="32"/>
        </w:rPr>
        <w:t>工作队、村第一书记更好的为群众服务，有利于加强村农牧民群众精神文明建设。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ascii="仿宋" w:hAnsi="仿宋" w:eastAsia="仿宋"/>
          <w:color w:val="FF0000"/>
          <w:sz w:val="32"/>
          <w:szCs w:val="32"/>
        </w:rPr>
        <w:t xml:space="preserve"> </w:t>
      </w:r>
      <w:r>
        <w:rPr>
          <w:rFonts w:hint="eastAsia" w:ascii="仿宋" w:hAnsi="仿宋" w:eastAsia="仿宋" w:cs="Arial"/>
          <w:sz w:val="32"/>
          <w:szCs w:val="32"/>
        </w:rPr>
        <w:t>塔什库尔干乡库孜滚村、萨热吉勒尕村、夏拉夫迭村、白尕吾勒村村民服务中心建设项目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预算安排总额为266.12万元，其中财政资金266.12万元，2018年实际收到预算资金266.12万元。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Arial"/>
          <w:color w:val="FF0000"/>
          <w:sz w:val="32"/>
          <w:szCs w:val="32"/>
        </w:rPr>
      </w:pPr>
      <w:r>
        <w:rPr>
          <w:rFonts w:hint="eastAsia" w:ascii="仿宋" w:hAnsi="仿宋" w:eastAsia="仿宋" w:cs="Arial"/>
          <w:color w:val="000000" w:themeColor="text1"/>
          <w:sz w:val="32"/>
          <w:szCs w:val="32"/>
        </w:rPr>
        <w:t>本项目实际支付资266.12万元，预算执行率100%。项目资金主要用于塔什库尔干乡库孜滚村、萨热吉勒尕村、夏拉夫迭村、白尕吾勒村村民服务中心的建设，及场地平整、地面硬化、化粪池及室内外配套设施的建设。经费支出266.12万元、没有用于其他支出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spacing w:line="480" w:lineRule="atLeast"/>
        <w:ind w:firstLine="470" w:firstLineChars="147"/>
        <w:jc w:val="left"/>
        <w:rPr>
          <w:rFonts w:ascii="仿宋" w:hAnsi="仿宋" w:eastAsia="仿宋" w:cs="Arial"/>
          <w:color w:val="000000" w:themeColor="text1"/>
          <w:sz w:val="32"/>
          <w:szCs w:val="32"/>
        </w:rPr>
      </w:pPr>
      <w:r>
        <w:rPr>
          <w:rFonts w:hint="eastAsia" w:ascii="仿宋" w:hAnsi="仿宋" w:eastAsia="仿宋" w:cs="Arial"/>
          <w:color w:val="000000" w:themeColor="text1"/>
          <w:sz w:val="32"/>
          <w:szCs w:val="32"/>
        </w:rPr>
        <w:t>项目支出符合地区关于这项资金用途的要求，下拨资金全部用于塔什库尔干乡库孜滚村、萨热吉勒尕村、夏拉夫迭村、白尕吾勒村村民服务中心的建设及附属建设，资金的拨付有完整的审批程序和手续，自地区下拨该项资金以后，由县委组织部财务人员按照程序审批拨付，此过程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40" w:firstLineChars="200"/>
        <w:rPr>
          <w:rFonts w:cs="Arial"/>
          <w:bCs/>
          <w:color w:val="000000" w:themeColor="text1"/>
        </w:rPr>
      </w:pPr>
      <w:r>
        <w:rPr>
          <w:rFonts w:hint="eastAsia" w:ascii="仿宋" w:hAnsi="仿宋" w:eastAsia="仿宋" w:cs="Arial"/>
          <w:color w:val="000000" w:themeColor="text1"/>
          <w:sz w:val="32"/>
          <w:szCs w:val="32"/>
        </w:rPr>
        <w:t>本项目不存在调整情况。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spacing w:line="540" w:lineRule="exact"/>
        <w:ind w:firstLine="640" w:firstLineChars="200"/>
        <w:rPr>
          <w:rFonts w:ascii="仿宋" w:hAnsi="仿宋" w:eastAsia="仿宋" w:cs="Arial"/>
          <w:color w:val="000000" w:themeColor="text1"/>
          <w:sz w:val="32"/>
          <w:szCs w:val="32"/>
        </w:rPr>
      </w:pPr>
      <w:r>
        <w:rPr>
          <w:rFonts w:hint="eastAsia" w:ascii="仿宋" w:hAnsi="仿宋" w:eastAsia="仿宋" w:cs="Arial"/>
          <w:color w:val="000000" w:themeColor="text1"/>
          <w:sz w:val="32"/>
          <w:szCs w:val="32"/>
        </w:rPr>
        <w:t>对该项目资金的管理及发放方式，是由我县发放实际及与各相关单位共同商议的结果，即由县委组织部审批发放到施工方，最后由县委组织部对发放结果进行调查，以确保该项资金的足额发放。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3</w:t>
      </w:r>
      <w:r>
        <w:rPr>
          <w:rFonts w:ascii="仿宋" w:hAnsi="仿宋" w:eastAsia="仿宋"/>
          <w:bCs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spacing w:val="-4"/>
          <w:sz w:val="32"/>
          <w:szCs w:val="32"/>
        </w:rPr>
        <w:t>二级指标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9</w:t>
      </w:r>
      <w:r>
        <w:rPr>
          <w:rFonts w:ascii="仿宋" w:hAnsi="仿宋" w:eastAsia="仿宋"/>
          <w:bCs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spacing w:val="-4"/>
          <w:sz w:val="32"/>
          <w:szCs w:val="32"/>
        </w:rPr>
        <w:t>三级指标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21</w:t>
      </w:r>
      <w:r>
        <w:rPr>
          <w:rFonts w:ascii="仿宋" w:hAnsi="仿宋" w:eastAsia="仿宋"/>
          <w:bCs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，其中</w:t>
      </w:r>
      <w:r>
        <w:rPr>
          <w:rFonts w:ascii="仿宋" w:hAnsi="仿宋" w:eastAsia="仿宋"/>
          <w:bCs/>
          <w:spacing w:val="-4"/>
          <w:sz w:val="32"/>
          <w:szCs w:val="32"/>
        </w:rPr>
        <w:t>已完成三级指标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21</w:t>
      </w:r>
      <w:r>
        <w:rPr>
          <w:rFonts w:ascii="仿宋" w:hAnsi="仿宋" w:eastAsia="仿宋"/>
          <w:bCs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，指标完成率为100%。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经济性：</w:t>
      </w: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</w:rPr>
        <w:t>各乡镇村委服务中心每平米造价均控制在合理范围内。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val="en-US" w:eastAsia="zh-CN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效率性：</w:t>
      </w: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</w:rPr>
        <w:t>各项目开工、竣工及验收均及时完成，工程项目验收合格率为</w:t>
      </w: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val="en-US" w:eastAsia="zh-CN"/>
        </w:rPr>
        <w:t>100%。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效益性：</w:t>
      </w: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val="en-US" w:eastAsia="zh-CN"/>
        </w:rPr>
        <w:t>受益</w:t>
      </w: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建档立卡贫困户</w:t>
      </w: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val="en-US" w:eastAsia="zh-CN"/>
        </w:rPr>
        <w:t>62户，受益建档立卡贫困人数310人，有利于组织群众开展各类文体活动，丰富群众的精神生活，为村民提供婚丧嫁娶等各种服务作用。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不存在未完成情况</w:t>
      </w:r>
      <w:r>
        <w:rPr>
          <w:rFonts w:ascii="仿宋" w:hAnsi="仿宋" w:eastAsia="仿宋"/>
          <w:spacing w:val="-4"/>
          <w:sz w:val="32"/>
          <w:szCs w:val="32"/>
        </w:rPr>
        <w:t>:</w:t>
      </w:r>
      <w:r>
        <w:rPr>
          <w:rFonts w:hint="eastAsia" w:ascii="仿宋" w:hAnsi="仿宋" w:eastAsia="仿宋"/>
          <w:spacing w:val="-4"/>
          <w:sz w:val="32"/>
          <w:szCs w:val="32"/>
        </w:rPr>
        <w:t>“2018年本项目绩效目标全部达成，不存在未完成原因分析。”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774" w:firstLineChars="242"/>
        <w:rPr>
          <w:rFonts w:hint="eastAsia" w:ascii="仿宋" w:hAnsi="仿宋" w:eastAsia="仿宋" w:cs="Arial"/>
          <w:color w:val="000000" w:themeColor="text1"/>
          <w:sz w:val="32"/>
          <w:szCs w:val="32"/>
        </w:rPr>
      </w:pPr>
      <w:r>
        <w:rPr>
          <w:rFonts w:hint="eastAsia" w:ascii="仿宋" w:hAnsi="仿宋" w:eastAsia="仿宋" w:cs="Arial"/>
          <w:color w:val="000000" w:themeColor="text1"/>
          <w:sz w:val="32"/>
          <w:szCs w:val="32"/>
        </w:rPr>
        <w:t>定期维护村民服务中心及附属建设。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Arial"/>
          <w:color w:val="000000" w:themeColor="text1"/>
          <w:sz w:val="32"/>
          <w:szCs w:val="32"/>
        </w:rPr>
      </w:pPr>
      <w:r>
        <w:rPr>
          <w:rFonts w:hint="eastAsia" w:ascii="仿宋" w:hAnsi="仿宋" w:eastAsia="仿宋" w:cs="Arial"/>
          <w:color w:val="000000" w:themeColor="text1"/>
          <w:sz w:val="32"/>
          <w:szCs w:val="32"/>
        </w:rPr>
        <w:t>1、主要经验及做法：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Arial"/>
          <w:color w:val="000000" w:themeColor="text1"/>
          <w:sz w:val="32"/>
          <w:szCs w:val="32"/>
        </w:rPr>
      </w:pPr>
      <w:r>
        <w:rPr>
          <w:rFonts w:hint="eastAsia" w:ascii="仿宋" w:hAnsi="仿宋" w:eastAsia="仿宋" w:cs="Arial"/>
          <w:color w:val="000000" w:themeColor="text1"/>
          <w:sz w:val="32"/>
          <w:szCs w:val="32"/>
        </w:rPr>
        <w:t>在大额资金的发放过程中，一定要根据本地区的实际，提出适合本地区情况的具体发放措施。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Arial"/>
          <w:color w:val="000000" w:themeColor="text1"/>
          <w:sz w:val="32"/>
          <w:szCs w:val="32"/>
        </w:rPr>
      </w:pPr>
      <w:r>
        <w:rPr>
          <w:rFonts w:hint="eastAsia" w:ascii="仿宋" w:hAnsi="仿宋" w:eastAsia="仿宋" w:cs="Arial"/>
          <w:color w:val="000000" w:themeColor="text1"/>
          <w:sz w:val="32"/>
          <w:szCs w:val="32"/>
        </w:rPr>
        <w:t>存在的问题：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Arial"/>
          <w:color w:val="000000" w:themeColor="text1"/>
          <w:sz w:val="32"/>
          <w:szCs w:val="32"/>
        </w:rPr>
      </w:pPr>
      <w:r>
        <w:rPr>
          <w:rFonts w:hint="eastAsia" w:ascii="仿宋" w:hAnsi="仿宋" w:eastAsia="仿宋" w:cs="Arial"/>
          <w:color w:val="000000" w:themeColor="text1"/>
          <w:sz w:val="32"/>
          <w:szCs w:val="32"/>
        </w:rPr>
        <w:t>此次资金的发放，由于涉及到施工方，项目主管方不清楚工程进度，不清楚工程质量。</w:t>
      </w:r>
    </w:p>
    <w:p>
      <w:pPr>
        <w:numPr>
          <w:ilvl w:val="0"/>
          <w:numId w:val="1"/>
        </w:numPr>
        <w:spacing w:line="540" w:lineRule="exact"/>
        <w:ind w:left="0" w:leftChars="0" w:firstLine="640" w:firstLineChars="200"/>
        <w:rPr>
          <w:rFonts w:hint="eastAsia" w:ascii="仿宋" w:hAnsi="仿宋" w:eastAsia="仿宋" w:cs="Arial"/>
          <w:color w:val="000000" w:themeColor="text1"/>
          <w:sz w:val="32"/>
          <w:szCs w:val="32"/>
        </w:rPr>
      </w:pPr>
      <w:r>
        <w:rPr>
          <w:rFonts w:hint="eastAsia" w:ascii="仿宋" w:hAnsi="仿宋" w:eastAsia="仿宋" w:cs="Arial"/>
          <w:color w:val="000000" w:themeColor="text1"/>
          <w:sz w:val="32"/>
          <w:szCs w:val="32"/>
        </w:rPr>
        <w:t>建议：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Fonts w:ascii="仿宋" w:hAnsi="仿宋" w:eastAsia="仿宋" w:cs="Arial"/>
          <w:color w:val="000000" w:themeColor="text1"/>
          <w:sz w:val="32"/>
          <w:szCs w:val="32"/>
        </w:rPr>
      </w:pPr>
      <w:r>
        <w:rPr>
          <w:rFonts w:hint="eastAsia" w:ascii="仿宋" w:hAnsi="仿宋" w:eastAsia="仿宋" w:cs="Arial"/>
          <w:color w:val="000000" w:themeColor="text1"/>
          <w:sz w:val="32"/>
          <w:szCs w:val="32"/>
        </w:rPr>
        <w:t>经过各方商议，结合本地区实际，提出了由组织部采取定期不定期的抽查，事实证明，这种方法适合我县实际。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 w:cs="Arial"/>
          <w:color w:val="000000" w:themeColor="text1"/>
          <w:sz w:val="32"/>
          <w:szCs w:val="32"/>
          <w:lang w:eastAsia="zh-CN"/>
        </w:rPr>
        <w:t>本项目</w:t>
      </w:r>
      <w:r>
        <w:rPr>
          <w:rFonts w:hint="eastAsia" w:ascii="仿宋" w:hAnsi="仿宋" w:eastAsia="仿宋" w:cs="Arial"/>
          <w:color w:val="000000" w:themeColor="text1"/>
          <w:sz w:val="32"/>
          <w:szCs w:val="32"/>
        </w:rPr>
        <w:t>资金发放，采取的方法</w:t>
      </w:r>
      <w:r>
        <w:rPr>
          <w:rFonts w:hint="eastAsia" w:ascii="仿宋" w:hAnsi="仿宋" w:eastAsia="仿宋" w:cs="Arial"/>
          <w:color w:val="000000" w:themeColor="text1"/>
          <w:sz w:val="32"/>
          <w:szCs w:val="32"/>
          <w:lang w:eastAsia="zh-CN"/>
        </w:rPr>
        <w:t>规范</w:t>
      </w:r>
      <w:r>
        <w:rPr>
          <w:rFonts w:hint="eastAsia" w:ascii="仿宋" w:hAnsi="仿宋" w:eastAsia="仿宋" w:cs="Arial"/>
          <w:color w:val="000000" w:themeColor="text1"/>
          <w:sz w:val="32"/>
          <w:szCs w:val="32"/>
        </w:rPr>
        <w:t>，根据发放后不定期的调查，证明，各受益人对此次资金发放的方式和效率均表示满意。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仿宋" w:hAnsi="仿宋" w:eastAsia="仿宋"/>
          <w:color w:val="FF0000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rPr>
          <w:rStyle w:val="18"/>
          <w:rFonts w:ascii="仿宋" w:hAnsi="仿宋" w:eastAsia="仿宋"/>
          <w:color w:val="FF0000"/>
          <w:spacing w:val="-4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</w:pPr>
  </w:p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EC0078"/>
    <w:multiLevelType w:val="singleLevel"/>
    <w:tmpl w:val="57EC0078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A6457"/>
    <w:rsid w:val="000F4636"/>
    <w:rsid w:val="0012208E"/>
    <w:rsid w:val="00135256"/>
    <w:rsid w:val="001A4E1F"/>
    <w:rsid w:val="001A57B9"/>
    <w:rsid w:val="001C3847"/>
    <w:rsid w:val="001F3031"/>
    <w:rsid w:val="00210A26"/>
    <w:rsid w:val="002A2532"/>
    <w:rsid w:val="002A2D76"/>
    <w:rsid w:val="0031134A"/>
    <w:rsid w:val="00365250"/>
    <w:rsid w:val="0036624C"/>
    <w:rsid w:val="00385849"/>
    <w:rsid w:val="003D7A9B"/>
    <w:rsid w:val="003F1A98"/>
    <w:rsid w:val="004B2869"/>
    <w:rsid w:val="0050167F"/>
    <w:rsid w:val="00514506"/>
    <w:rsid w:val="005162F1"/>
    <w:rsid w:val="00516E80"/>
    <w:rsid w:val="00535153"/>
    <w:rsid w:val="00575CFE"/>
    <w:rsid w:val="00583AFC"/>
    <w:rsid w:val="00592D09"/>
    <w:rsid w:val="00652180"/>
    <w:rsid w:val="00675D58"/>
    <w:rsid w:val="006F2E6D"/>
    <w:rsid w:val="00711453"/>
    <w:rsid w:val="007218B8"/>
    <w:rsid w:val="00755C6A"/>
    <w:rsid w:val="00785FDE"/>
    <w:rsid w:val="007A0351"/>
    <w:rsid w:val="007A14BC"/>
    <w:rsid w:val="007C1025"/>
    <w:rsid w:val="007D63FC"/>
    <w:rsid w:val="007E6845"/>
    <w:rsid w:val="007F5F8A"/>
    <w:rsid w:val="00826CA1"/>
    <w:rsid w:val="00835B7F"/>
    <w:rsid w:val="00855E3A"/>
    <w:rsid w:val="00882985"/>
    <w:rsid w:val="009065F4"/>
    <w:rsid w:val="00922CB9"/>
    <w:rsid w:val="009350F7"/>
    <w:rsid w:val="00987430"/>
    <w:rsid w:val="009B526F"/>
    <w:rsid w:val="009C1AFD"/>
    <w:rsid w:val="009D4BFB"/>
    <w:rsid w:val="00A26421"/>
    <w:rsid w:val="00A4293B"/>
    <w:rsid w:val="00A83BD5"/>
    <w:rsid w:val="00A977DF"/>
    <w:rsid w:val="00AE6A23"/>
    <w:rsid w:val="00B06CA5"/>
    <w:rsid w:val="00B13FCF"/>
    <w:rsid w:val="00B41F61"/>
    <w:rsid w:val="00B464C5"/>
    <w:rsid w:val="00B55332"/>
    <w:rsid w:val="00B86E8C"/>
    <w:rsid w:val="00BE1A00"/>
    <w:rsid w:val="00C11AE7"/>
    <w:rsid w:val="00C22CF0"/>
    <w:rsid w:val="00C56C72"/>
    <w:rsid w:val="00CA6457"/>
    <w:rsid w:val="00CC4442"/>
    <w:rsid w:val="00CC6E4D"/>
    <w:rsid w:val="00D00254"/>
    <w:rsid w:val="00D17F2E"/>
    <w:rsid w:val="00D46194"/>
    <w:rsid w:val="00DF5ED7"/>
    <w:rsid w:val="00E01293"/>
    <w:rsid w:val="00E027D1"/>
    <w:rsid w:val="00E769FE"/>
    <w:rsid w:val="00EA2CBE"/>
    <w:rsid w:val="00EF3FFA"/>
    <w:rsid w:val="00F32FEE"/>
    <w:rsid w:val="00F53E69"/>
    <w:rsid w:val="00FB1660"/>
    <w:rsid w:val="0AB56CE2"/>
    <w:rsid w:val="0D3171B9"/>
    <w:rsid w:val="0EB107EC"/>
    <w:rsid w:val="0F9536CA"/>
    <w:rsid w:val="20474AB8"/>
    <w:rsid w:val="21454B50"/>
    <w:rsid w:val="275833BE"/>
    <w:rsid w:val="397F4FE8"/>
    <w:rsid w:val="4CF76EED"/>
    <w:rsid w:val="4EFD6A38"/>
    <w:rsid w:val="53B27381"/>
    <w:rsid w:val="5A7F02EA"/>
    <w:rsid w:val="68C80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customStyle="1" w:styleId="32">
    <w:name w:val="无间隔1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customStyle="1" w:styleId="33">
    <w:name w:val="列出段落1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customStyle="1" w:styleId="34">
    <w:name w:val="引用1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qFormat/>
    <w:uiPriority w:val="29"/>
    <w:rPr>
      <w:i/>
      <w:sz w:val="24"/>
      <w:szCs w:val="24"/>
    </w:rPr>
  </w:style>
  <w:style w:type="paragraph" w:customStyle="1" w:styleId="36">
    <w:name w:val="明显引用1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5"/>
    </w:rPr>
  </w:style>
  <w:style w:type="character" w:customStyle="1" w:styleId="39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7"/>
    <w:qFormat/>
    <w:uiPriority w:val="32"/>
    <w:rPr>
      <w:b/>
      <w:sz w:val="24"/>
      <w:u w:val="single"/>
    </w:rPr>
  </w:style>
  <w:style w:type="character" w:customStyle="1" w:styleId="42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3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7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7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8">
    <w:name w:val="正文 A"/>
    <w:qFormat/>
    <w:uiPriority w:val="0"/>
    <w:pPr>
      <w:widowControl w:val="0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  <w:style w:type="character" w:customStyle="1" w:styleId="49">
    <w:name w:val="font21"/>
    <w:basedOn w:val="17"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50">
    <w:name w:val="font01"/>
    <w:basedOn w:val="17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51">
    <w:name w:val="font11"/>
    <w:basedOn w:val="17"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5362730-CB45-40DB-A67F-21CDCEFCC56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262</Words>
  <Characters>1500</Characters>
  <Lines>12</Lines>
  <Paragraphs>3</Paragraphs>
  <TotalTime>0</TotalTime>
  <ScaleCrop>false</ScaleCrop>
  <LinksUpToDate>false</LinksUpToDate>
  <CharactersWithSpaces>1759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Lenovo</cp:lastModifiedBy>
  <cp:lastPrinted>2018-12-17T10:15:00Z</cp:lastPrinted>
  <dcterms:modified xsi:type="dcterms:W3CDTF">2019-09-22T05:27:00Z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